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341B1" w14:textId="74A8BCB6" w:rsidR="00FC522C" w:rsidRDefault="00694A52" w:rsidP="007569BA">
      <w:pPr>
        <w:spacing w:line="276" w:lineRule="auto"/>
        <w:rPr>
          <w:b/>
          <w:bCs/>
          <w:lang w:val="en-US"/>
        </w:rPr>
      </w:pPr>
      <w:r>
        <w:rPr>
          <w:b/>
          <w:bCs/>
          <w:lang w:val="en-US"/>
        </w:rPr>
        <w:t>Editorial</w:t>
      </w:r>
    </w:p>
    <w:p w14:paraId="085C8DE7" w14:textId="61BC8D17" w:rsidR="007569BA" w:rsidRDefault="007569BA" w:rsidP="007569BA">
      <w:pPr>
        <w:spacing w:line="276" w:lineRule="auto"/>
        <w:rPr>
          <w:b/>
          <w:bCs/>
          <w:lang w:val="en-US"/>
        </w:rPr>
      </w:pPr>
    </w:p>
    <w:p w14:paraId="197D91B6" w14:textId="2FDD2B97" w:rsidR="007569BA" w:rsidRDefault="007905E6" w:rsidP="007569BA">
      <w:pPr>
        <w:spacing w:line="276" w:lineRule="auto"/>
        <w:jc w:val="center"/>
        <w:rPr>
          <w:b/>
          <w:bCs/>
          <w:lang w:val="en-US"/>
        </w:rPr>
      </w:pPr>
      <w:r>
        <w:rPr>
          <w:b/>
          <w:bCs/>
          <w:lang w:val="en-US"/>
        </w:rPr>
        <w:t xml:space="preserve">ESOPHAGEAL </w:t>
      </w:r>
      <w:r w:rsidR="007569BA">
        <w:rPr>
          <w:b/>
          <w:bCs/>
          <w:lang w:val="en-US"/>
        </w:rPr>
        <w:t>VARICE</w:t>
      </w:r>
      <w:r>
        <w:rPr>
          <w:b/>
          <w:bCs/>
          <w:lang w:val="en-US"/>
        </w:rPr>
        <w:t>S</w:t>
      </w:r>
      <w:r w:rsidR="007569BA">
        <w:rPr>
          <w:b/>
          <w:bCs/>
          <w:lang w:val="en-US"/>
        </w:rPr>
        <w:t xml:space="preserve"> REBLEEDING PROPHYLAXIS TREATMENT: WHO IS THE CHAMPION?</w:t>
      </w:r>
    </w:p>
    <w:p w14:paraId="31B11D57" w14:textId="5834D736" w:rsidR="00694A52" w:rsidRDefault="007569BA" w:rsidP="00694A52">
      <w:pPr>
        <w:spacing w:line="276" w:lineRule="auto"/>
        <w:jc w:val="center"/>
        <w:rPr>
          <w:b/>
          <w:bCs/>
          <w:sz w:val="20"/>
          <w:szCs w:val="20"/>
          <w:lang w:val="en-US"/>
        </w:rPr>
      </w:pPr>
      <w:r>
        <w:rPr>
          <w:b/>
          <w:bCs/>
          <w:sz w:val="20"/>
          <w:szCs w:val="20"/>
          <w:lang w:val="en-US"/>
        </w:rPr>
        <w:t>Cosmas Rinaldi Adithya Lesmana</w:t>
      </w:r>
    </w:p>
    <w:p w14:paraId="7E31251B" w14:textId="77777777" w:rsidR="00EE7B65" w:rsidRDefault="00EE7B65" w:rsidP="00694A52">
      <w:pPr>
        <w:spacing w:line="276" w:lineRule="auto"/>
        <w:jc w:val="center"/>
        <w:rPr>
          <w:b/>
          <w:bCs/>
          <w:sz w:val="20"/>
          <w:szCs w:val="20"/>
          <w:lang w:val="en-US"/>
        </w:rPr>
      </w:pPr>
    </w:p>
    <w:p w14:paraId="53B793BF" w14:textId="44ABF8BA" w:rsidR="00EE7B65" w:rsidRDefault="00EE7B65" w:rsidP="00694A52">
      <w:pPr>
        <w:spacing w:line="276" w:lineRule="auto"/>
        <w:jc w:val="center"/>
        <w:rPr>
          <w:b/>
          <w:bCs/>
          <w:sz w:val="20"/>
          <w:szCs w:val="20"/>
          <w:lang w:val="en-US"/>
        </w:rPr>
      </w:pPr>
    </w:p>
    <w:p w14:paraId="1471D875" w14:textId="64E40550" w:rsidR="00EE7B65" w:rsidRDefault="00EE7B65" w:rsidP="00EE7B65">
      <w:pPr>
        <w:spacing w:line="276" w:lineRule="auto"/>
        <w:rPr>
          <w:b/>
          <w:bCs/>
          <w:sz w:val="20"/>
          <w:szCs w:val="20"/>
          <w:lang w:val="en-US"/>
        </w:rPr>
      </w:pPr>
      <w:r>
        <w:rPr>
          <w:b/>
          <w:bCs/>
          <w:sz w:val="20"/>
          <w:szCs w:val="20"/>
          <w:lang w:val="en-US"/>
        </w:rPr>
        <w:t>1) Hepatobiliary Division, Department of Internal Medicine, Dr. Cipto Mangunkusumo National General Hospital, Medical Faculty Universitas Indonesia, Jakarta</w:t>
      </w:r>
    </w:p>
    <w:p w14:paraId="1AACB398" w14:textId="3441B7CC" w:rsidR="00EE7B65" w:rsidRDefault="00EE7B65" w:rsidP="00EE7B65">
      <w:pPr>
        <w:spacing w:line="276" w:lineRule="auto"/>
        <w:rPr>
          <w:b/>
          <w:bCs/>
          <w:sz w:val="20"/>
          <w:szCs w:val="20"/>
          <w:lang w:val="en-US"/>
        </w:rPr>
      </w:pPr>
      <w:r>
        <w:rPr>
          <w:b/>
          <w:bCs/>
          <w:sz w:val="20"/>
          <w:szCs w:val="20"/>
          <w:lang w:val="en-US"/>
        </w:rPr>
        <w:t>2) Digestive Disease &amp; GI Oncology Centre, Medistra Hospital, Jakarta</w:t>
      </w:r>
    </w:p>
    <w:p w14:paraId="7BC845C2" w14:textId="2A705D52" w:rsidR="00EE7B65" w:rsidRDefault="00EE7B65" w:rsidP="00EE7B65">
      <w:pPr>
        <w:spacing w:line="276" w:lineRule="auto"/>
        <w:rPr>
          <w:b/>
          <w:bCs/>
          <w:sz w:val="20"/>
          <w:szCs w:val="20"/>
          <w:lang w:val="en-US"/>
        </w:rPr>
      </w:pPr>
      <w:r>
        <w:rPr>
          <w:b/>
          <w:bCs/>
          <w:sz w:val="20"/>
          <w:szCs w:val="20"/>
          <w:lang w:val="en-US"/>
        </w:rPr>
        <w:t>3) Gastrointestinal Cancer Centre, MRCCC Siloam Semanggi Hospital, Jakarta</w:t>
      </w:r>
    </w:p>
    <w:p w14:paraId="3466BFDD" w14:textId="77777777" w:rsidR="007569BA" w:rsidRPr="007569BA" w:rsidRDefault="007569BA" w:rsidP="00694A52">
      <w:pPr>
        <w:spacing w:line="276" w:lineRule="auto"/>
        <w:jc w:val="center"/>
        <w:rPr>
          <w:b/>
          <w:bCs/>
          <w:sz w:val="20"/>
          <w:szCs w:val="20"/>
          <w:lang w:val="en-US"/>
        </w:rPr>
      </w:pPr>
    </w:p>
    <w:p w14:paraId="3196C6C8" w14:textId="108ABF74" w:rsidR="00694A52" w:rsidRDefault="00694A52" w:rsidP="00694A52">
      <w:pPr>
        <w:spacing w:line="276" w:lineRule="auto"/>
        <w:jc w:val="center"/>
        <w:rPr>
          <w:b/>
          <w:bCs/>
          <w:lang w:val="en-US"/>
        </w:rPr>
      </w:pPr>
    </w:p>
    <w:p w14:paraId="35DF735F" w14:textId="3E696BA1" w:rsidR="007569BA" w:rsidRDefault="007569BA" w:rsidP="00694A52">
      <w:pPr>
        <w:spacing w:line="276" w:lineRule="auto"/>
        <w:jc w:val="center"/>
        <w:rPr>
          <w:b/>
          <w:bCs/>
          <w:lang w:val="en-US"/>
        </w:rPr>
      </w:pPr>
    </w:p>
    <w:p w14:paraId="6D52CBD6" w14:textId="77777777" w:rsidR="00EE7B65" w:rsidRDefault="00EE7B65" w:rsidP="00694A52">
      <w:pPr>
        <w:spacing w:line="276" w:lineRule="auto"/>
        <w:jc w:val="center"/>
        <w:rPr>
          <w:b/>
          <w:bCs/>
          <w:lang w:val="en-US"/>
        </w:rPr>
      </w:pPr>
    </w:p>
    <w:p w14:paraId="4C58B19B" w14:textId="0AE50D86" w:rsidR="00694A52" w:rsidRDefault="00694A52" w:rsidP="00694A52">
      <w:pPr>
        <w:spacing w:line="276" w:lineRule="auto"/>
        <w:jc w:val="both"/>
        <w:rPr>
          <w:b/>
          <w:bCs/>
          <w:lang w:val="en-US"/>
        </w:rPr>
      </w:pPr>
      <w:r>
        <w:rPr>
          <w:b/>
          <w:bCs/>
          <w:lang w:val="en-US"/>
        </w:rPr>
        <w:t>Introduction</w:t>
      </w:r>
    </w:p>
    <w:p w14:paraId="1044905E" w14:textId="5B702FBD" w:rsidR="00694A52" w:rsidRDefault="00694A52" w:rsidP="00694A52">
      <w:pPr>
        <w:spacing w:line="276" w:lineRule="auto"/>
        <w:jc w:val="both"/>
        <w:rPr>
          <w:lang w:val="en-US"/>
        </w:rPr>
      </w:pPr>
      <w:r>
        <w:rPr>
          <w:lang w:val="en-US"/>
        </w:rPr>
        <w:t>Portal hypertension (PH) is still a big challenge in clinical practice, where the presence of esophageal varices</w:t>
      </w:r>
      <w:r w:rsidR="00E166EF">
        <w:rPr>
          <w:lang w:val="en-US"/>
        </w:rPr>
        <w:t xml:space="preserve"> (EV)</w:t>
      </w:r>
      <w:r>
        <w:rPr>
          <w:lang w:val="en-US"/>
        </w:rPr>
        <w:t xml:space="preserve"> is the most common complication found in liver cirrhosis (LC) patients. The progression of PH condition in LC patients </w:t>
      </w:r>
      <w:r w:rsidR="00E166EF">
        <w:rPr>
          <w:lang w:val="en-US"/>
        </w:rPr>
        <w:t>would lead to decompensated stage with more complications, such as variceal bleeding, the presence of ascites, hepatic encephalopathy, and hepatorenal syndrome.</w:t>
      </w:r>
      <w:r w:rsidR="00D44CCB">
        <w:rPr>
          <w:lang w:val="en-US"/>
        </w:rPr>
        <w:t>[1,2]</w:t>
      </w:r>
      <w:r w:rsidR="00E166EF">
        <w:rPr>
          <w:lang w:val="en-US"/>
        </w:rPr>
        <w:t xml:space="preserve"> Bleeding of EV (BEV)</w:t>
      </w:r>
      <w:r w:rsidR="009C229C">
        <w:rPr>
          <w:lang w:val="en-US"/>
        </w:rPr>
        <w:t xml:space="preserve"> is a critical clinical which carry high mortality. Therefore, not only early detection and how the PH condition can be diagnosed well, but also how we can manage to prevent its complication, especially for primary as well as secondary BEV prophylaxis.</w:t>
      </w:r>
      <w:r w:rsidR="00A91312">
        <w:rPr>
          <w:lang w:val="en-US"/>
        </w:rPr>
        <w:t>[3]</w:t>
      </w:r>
      <w:r w:rsidR="009C229C">
        <w:rPr>
          <w:lang w:val="en-US"/>
        </w:rPr>
        <w:t xml:space="preserve"> </w:t>
      </w:r>
    </w:p>
    <w:p w14:paraId="73FE9B1F" w14:textId="77777777" w:rsidR="00CC2683" w:rsidRDefault="00CC2683" w:rsidP="00694A52">
      <w:pPr>
        <w:spacing w:line="276" w:lineRule="auto"/>
        <w:jc w:val="both"/>
        <w:rPr>
          <w:lang w:val="en-US"/>
        </w:rPr>
      </w:pPr>
    </w:p>
    <w:p w14:paraId="45689E5F" w14:textId="599083D8" w:rsidR="00EC082D" w:rsidRDefault="00EC082D" w:rsidP="00694A52">
      <w:pPr>
        <w:spacing w:line="276" w:lineRule="auto"/>
        <w:jc w:val="both"/>
        <w:rPr>
          <w:lang w:val="en-US"/>
        </w:rPr>
      </w:pPr>
    </w:p>
    <w:p w14:paraId="181ECD70" w14:textId="76D24B45" w:rsidR="00EC082D" w:rsidRDefault="00EC082D" w:rsidP="00694A52">
      <w:pPr>
        <w:spacing w:line="276" w:lineRule="auto"/>
        <w:jc w:val="both"/>
        <w:rPr>
          <w:b/>
          <w:bCs/>
          <w:lang w:val="en-US"/>
        </w:rPr>
      </w:pPr>
      <w:r>
        <w:rPr>
          <w:b/>
          <w:bCs/>
          <w:lang w:val="en-US"/>
        </w:rPr>
        <w:t>Screening Esophageal Varices</w:t>
      </w:r>
      <w:r w:rsidR="004D7F50">
        <w:rPr>
          <w:b/>
          <w:bCs/>
          <w:lang w:val="en-US"/>
        </w:rPr>
        <w:t xml:space="preserve"> and Acute Variceal Bleeding</w:t>
      </w:r>
    </w:p>
    <w:p w14:paraId="6CBCE99E" w14:textId="7FF079A5" w:rsidR="00E206D0" w:rsidRDefault="00EC082D" w:rsidP="00694A52">
      <w:pPr>
        <w:spacing w:line="276" w:lineRule="auto"/>
        <w:jc w:val="both"/>
        <w:rPr>
          <w:lang w:val="en-US"/>
        </w:rPr>
      </w:pPr>
      <w:r>
        <w:rPr>
          <w:lang w:val="en-US"/>
        </w:rPr>
        <w:t xml:space="preserve">Esophagogastroduodenoscopy (EGD) is the standard tool </w:t>
      </w:r>
      <w:r w:rsidR="00C7059D">
        <w:rPr>
          <w:lang w:val="en-US"/>
        </w:rPr>
        <w:t xml:space="preserve">to screen and diagnose the presence of EV, as well as isolated gastric varices (GV). </w:t>
      </w:r>
      <w:r w:rsidR="00AC2DBC">
        <w:rPr>
          <w:lang w:val="en-US"/>
        </w:rPr>
        <w:t xml:space="preserve">Based on Asian Pacific Association for The Study of The Liver (APASL) guideline, it has been recommended that all newly diagnosed LC patients should undergo EGD screening for the presence of varices. In patients with acute variceal bleeding (AVB), EGD should be performed within 12-24 hours. </w:t>
      </w:r>
      <w:r w:rsidR="00A31401">
        <w:rPr>
          <w:lang w:val="en-US"/>
        </w:rPr>
        <w:t xml:space="preserve">It is well-known that AVB most likely will be present when the portal pressure </w:t>
      </w:r>
      <w:r w:rsidR="00432D03">
        <w:rPr>
          <w:lang w:val="en-US"/>
        </w:rPr>
        <w:t>reaches</w:t>
      </w:r>
      <w:r w:rsidR="00A31401">
        <w:rPr>
          <w:lang w:val="en-US"/>
        </w:rPr>
        <w:t xml:space="preserve"> more than 12 mmHg.</w:t>
      </w:r>
      <w:r w:rsidR="00F75E4A">
        <w:rPr>
          <w:lang w:val="en-US"/>
        </w:rPr>
        <w:t>[4]</w:t>
      </w:r>
      <w:r w:rsidR="00A31401">
        <w:rPr>
          <w:lang w:val="en-US"/>
        </w:rPr>
        <w:t xml:space="preserve"> </w:t>
      </w:r>
      <w:r w:rsidR="00432D03">
        <w:rPr>
          <w:lang w:val="en-US"/>
        </w:rPr>
        <w:t xml:space="preserve">The high-risk stigmata, such as cherry red spot, and hematocystic spot are also very important in the endoscopic management. Endoscopic band ligation (EBL), and cyanoacrylate injection (CYI) are the standard of care in daily practice for managing variceal bleeding. However, in the real clinical setting, these methods are not always successful to control the bleeding. The severity of liver disease when measured by the common scoring system, such as Child Pugh (CP) score, </w:t>
      </w:r>
      <w:r w:rsidR="00032639">
        <w:rPr>
          <w:lang w:val="en-US"/>
        </w:rPr>
        <w:t xml:space="preserve">and </w:t>
      </w:r>
      <w:r w:rsidR="00B07E15">
        <w:rPr>
          <w:lang w:val="en-US"/>
        </w:rPr>
        <w:t>the high portal pressure itself which is usually diagnosed through hepatic vein gradient pressure (HVPG) measurement are the two important parameters in bleeding prevention.</w:t>
      </w:r>
      <w:r w:rsidR="00F75E4A">
        <w:rPr>
          <w:lang w:val="en-US"/>
        </w:rPr>
        <w:t>[5]</w:t>
      </w:r>
      <w:r w:rsidR="00273F2B">
        <w:rPr>
          <w:lang w:val="en-US"/>
        </w:rPr>
        <w:t xml:space="preserve"> </w:t>
      </w:r>
    </w:p>
    <w:p w14:paraId="136F29E4" w14:textId="078BFB00" w:rsidR="00E206D0" w:rsidRDefault="00E206D0" w:rsidP="00694A52">
      <w:pPr>
        <w:spacing w:line="276" w:lineRule="auto"/>
        <w:jc w:val="both"/>
        <w:rPr>
          <w:b/>
          <w:bCs/>
          <w:lang w:val="en-US"/>
        </w:rPr>
      </w:pPr>
      <w:r>
        <w:rPr>
          <w:b/>
          <w:bCs/>
          <w:lang w:val="en-US"/>
        </w:rPr>
        <w:lastRenderedPageBreak/>
        <w:t>Strategy Management in Acute Variceal Bleeding Prevention</w:t>
      </w:r>
    </w:p>
    <w:p w14:paraId="2028E3C1" w14:textId="08FE9792" w:rsidR="00E206D0" w:rsidRDefault="00281F44" w:rsidP="00694A52">
      <w:pPr>
        <w:spacing w:line="276" w:lineRule="auto"/>
        <w:jc w:val="both"/>
        <w:rPr>
          <w:lang w:val="en-US"/>
        </w:rPr>
      </w:pPr>
      <w:r>
        <w:rPr>
          <w:lang w:val="en-US"/>
        </w:rPr>
        <w:t>Based on APASL guideline, and European Association for The Study of The Liver (EASL) guideline, it has been stated that in the setting of AVB, combination of vasoactive drugs and EBL should be the first-line approach. The use of vasoactive drugs has shown to be an effective treatment to control the bleeding.</w:t>
      </w:r>
      <w:r w:rsidR="00797178">
        <w:rPr>
          <w:lang w:val="en-US"/>
        </w:rPr>
        <w:t>[4,6]</w:t>
      </w:r>
      <w:r>
        <w:rPr>
          <w:lang w:val="en-US"/>
        </w:rPr>
        <w:t xml:space="preserve"> In the secondary prevention of AVB, the use of beta blocker has been well-studied. Studies have shown that beta blocker can be effectively reduce the portal pressure, however, the patient's tolerability</w:t>
      </w:r>
      <w:r w:rsidR="00493E51">
        <w:rPr>
          <w:lang w:val="en-US"/>
        </w:rPr>
        <w:t xml:space="preserve"> can become a treatment challenge in the real clinical setting.</w:t>
      </w:r>
      <w:r w:rsidR="009F6191">
        <w:rPr>
          <w:lang w:val="en-US"/>
        </w:rPr>
        <w:t>[7]</w:t>
      </w:r>
      <w:r w:rsidR="00493E51">
        <w:rPr>
          <w:lang w:val="en-US"/>
        </w:rPr>
        <w:t xml:space="preserve"> Recently, the use of carvedilol has been showed to be superior to the old beta blocker, propranolol.</w:t>
      </w:r>
      <w:r w:rsidR="00063E42">
        <w:rPr>
          <w:lang w:val="en-US"/>
        </w:rPr>
        <w:t>[8]</w:t>
      </w:r>
      <w:r w:rsidR="00493E51">
        <w:rPr>
          <w:lang w:val="en-US"/>
        </w:rPr>
        <w:t xml:space="preserve"> It is also can be used to delay the variceal growth. </w:t>
      </w:r>
      <w:r w:rsidR="002F7745">
        <w:rPr>
          <w:lang w:val="en-US"/>
        </w:rPr>
        <w:t>In fact, the use of carvedilol has been showed to be superior also to EBL procedure for re-bleeding prevention.</w:t>
      </w:r>
      <w:r w:rsidR="00063E42">
        <w:rPr>
          <w:lang w:val="en-US"/>
        </w:rPr>
        <w:t>[9]</w:t>
      </w:r>
      <w:r w:rsidR="002F7745">
        <w:rPr>
          <w:lang w:val="en-US"/>
        </w:rPr>
        <w:t xml:space="preserve"> </w:t>
      </w:r>
      <w:r w:rsidR="00EF7255">
        <w:rPr>
          <w:lang w:val="en-US"/>
        </w:rPr>
        <w:t>However, several major concerns, such as hypotension, water and sodium retention, and progressive ascites have been encountered in clinical practice.</w:t>
      </w:r>
      <w:r w:rsidR="00BC1D29">
        <w:rPr>
          <w:lang w:val="en-US"/>
        </w:rPr>
        <w:t>[10]</w:t>
      </w:r>
    </w:p>
    <w:p w14:paraId="2A881E30" w14:textId="77777777" w:rsidR="00C012AA" w:rsidRDefault="00C012AA" w:rsidP="00694A52">
      <w:pPr>
        <w:spacing w:line="276" w:lineRule="auto"/>
        <w:jc w:val="both"/>
        <w:rPr>
          <w:lang w:val="en-US"/>
        </w:rPr>
      </w:pPr>
    </w:p>
    <w:p w14:paraId="1802F652" w14:textId="44B058A4" w:rsidR="00E20C48" w:rsidRDefault="00E20C48" w:rsidP="00694A52">
      <w:pPr>
        <w:spacing w:line="276" w:lineRule="auto"/>
        <w:jc w:val="both"/>
        <w:rPr>
          <w:lang w:val="en-US"/>
        </w:rPr>
      </w:pPr>
    </w:p>
    <w:p w14:paraId="3C4575E7" w14:textId="21D17F6F" w:rsidR="00E20C48" w:rsidRDefault="00E20C48" w:rsidP="00694A52">
      <w:pPr>
        <w:spacing w:line="276" w:lineRule="auto"/>
        <w:jc w:val="both"/>
        <w:rPr>
          <w:b/>
          <w:bCs/>
          <w:lang w:val="en-US"/>
        </w:rPr>
      </w:pPr>
      <w:r>
        <w:rPr>
          <w:b/>
          <w:bCs/>
          <w:lang w:val="en-US"/>
        </w:rPr>
        <w:t xml:space="preserve">The Role of </w:t>
      </w:r>
      <w:r w:rsidR="00C012AA">
        <w:rPr>
          <w:b/>
          <w:bCs/>
          <w:lang w:val="en-US"/>
        </w:rPr>
        <w:t>Transjugular Intrahepatic Portosystemic Shunt (TIPSS) in AVB Prevention</w:t>
      </w:r>
    </w:p>
    <w:p w14:paraId="7D128C6E" w14:textId="2EEFFBE9" w:rsidR="00C012AA" w:rsidRDefault="00297A84" w:rsidP="00694A52">
      <w:pPr>
        <w:spacing w:line="276" w:lineRule="auto"/>
        <w:jc w:val="both"/>
        <w:rPr>
          <w:lang w:val="en-US"/>
        </w:rPr>
      </w:pPr>
      <w:r>
        <w:rPr>
          <w:lang w:val="en-US"/>
        </w:rPr>
        <w:t>Transjugular intrahepatic portosystemic shunt (TIPSS) has been introduced many years ago, and it is a salvage treatment for patients with refractory AVB. In the setting of AVB, TIPSS has been showed to be an effective method to control the bleeding.</w:t>
      </w:r>
      <w:r w:rsidR="00A4596A">
        <w:rPr>
          <w:lang w:val="en-US"/>
        </w:rPr>
        <w:t>[11]</w:t>
      </w:r>
      <w:r>
        <w:rPr>
          <w:lang w:val="en-US"/>
        </w:rPr>
        <w:t xml:space="preserve"> In the long term of period, TIPSS has shown to decrease the mortality rate, however the risk of HE has been a major issue. There has been a debate about patient's selection, and its impact to cardiac condition.</w:t>
      </w:r>
      <w:r w:rsidR="00E34A42">
        <w:rPr>
          <w:lang w:val="en-US"/>
        </w:rPr>
        <w:t>[12,13]</w:t>
      </w:r>
      <w:r>
        <w:rPr>
          <w:lang w:val="en-US"/>
        </w:rPr>
        <w:t xml:space="preserve"> </w:t>
      </w:r>
      <w:r w:rsidR="00E52C1B">
        <w:rPr>
          <w:lang w:val="en-US"/>
        </w:rPr>
        <w:t>In the setting of acute on chronic liver failure (ACLF), pre-emptive TIPSS has been effectively not only to decrease the rebleeding rate, but also significantly lowering the mortality.</w:t>
      </w:r>
      <w:r w:rsidR="00E34A42">
        <w:rPr>
          <w:lang w:val="en-US"/>
        </w:rPr>
        <w:t>[14]</w:t>
      </w:r>
    </w:p>
    <w:p w14:paraId="4D4C5498" w14:textId="77777777" w:rsidR="00D13EE0" w:rsidRDefault="00D13EE0" w:rsidP="00694A52">
      <w:pPr>
        <w:spacing w:line="276" w:lineRule="auto"/>
        <w:jc w:val="both"/>
        <w:rPr>
          <w:lang w:val="en-US"/>
        </w:rPr>
      </w:pPr>
    </w:p>
    <w:p w14:paraId="080C7122" w14:textId="605CED48" w:rsidR="00D13EE0" w:rsidRDefault="00D13EE0" w:rsidP="00694A52">
      <w:pPr>
        <w:spacing w:line="276" w:lineRule="auto"/>
        <w:jc w:val="both"/>
        <w:rPr>
          <w:lang w:val="en-US"/>
        </w:rPr>
      </w:pPr>
    </w:p>
    <w:p w14:paraId="6807CB61" w14:textId="61CF6ACB" w:rsidR="00D13EE0" w:rsidRDefault="00D13EE0" w:rsidP="00694A52">
      <w:pPr>
        <w:spacing w:line="276" w:lineRule="auto"/>
        <w:jc w:val="both"/>
        <w:rPr>
          <w:b/>
          <w:bCs/>
          <w:lang w:val="en-US"/>
        </w:rPr>
      </w:pPr>
      <w:r>
        <w:rPr>
          <w:b/>
          <w:bCs/>
          <w:lang w:val="en-US"/>
        </w:rPr>
        <w:t>Conclusions</w:t>
      </w:r>
    </w:p>
    <w:p w14:paraId="6D40DE49" w14:textId="66D5189A" w:rsidR="00D13EE0" w:rsidRDefault="007569BA" w:rsidP="00694A52">
      <w:pPr>
        <w:spacing w:line="276" w:lineRule="auto"/>
        <w:jc w:val="both"/>
        <w:rPr>
          <w:lang w:val="en-US"/>
        </w:rPr>
      </w:pPr>
      <w:r>
        <w:rPr>
          <w:lang w:val="en-US"/>
        </w:rPr>
        <w:t xml:space="preserve">Variceal bleeding prevention is a challenging clinical condition, which needs a good comprehensive evaluation before deciding which is the best treatment strategy not only to prevent rebleeding, but also to prolong the survival. TIPSS is very effective for bleeding control, rebleeding prevention, and decreasing mortality rate in LC patients, however, the patient's selection would be the most important parameter. </w:t>
      </w:r>
    </w:p>
    <w:p w14:paraId="181DA81D" w14:textId="44C714AF" w:rsidR="00C66434" w:rsidRDefault="00C66434" w:rsidP="00694A52">
      <w:pPr>
        <w:spacing w:line="276" w:lineRule="auto"/>
        <w:jc w:val="both"/>
        <w:rPr>
          <w:lang w:val="en-US"/>
        </w:rPr>
      </w:pPr>
    </w:p>
    <w:p w14:paraId="2471679A" w14:textId="7CC31888" w:rsidR="00C66434" w:rsidRDefault="00C66434" w:rsidP="00694A52">
      <w:pPr>
        <w:spacing w:line="276" w:lineRule="auto"/>
        <w:jc w:val="both"/>
        <w:rPr>
          <w:lang w:val="en-US"/>
        </w:rPr>
      </w:pPr>
    </w:p>
    <w:p w14:paraId="48092921" w14:textId="1C62D478" w:rsidR="00530376" w:rsidRDefault="00530376" w:rsidP="00694A52">
      <w:pPr>
        <w:spacing w:line="276" w:lineRule="auto"/>
        <w:jc w:val="both"/>
        <w:rPr>
          <w:lang w:val="en-US"/>
        </w:rPr>
      </w:pPr>
    </w:p>
    <w:p w14:paraId="04CFF442" w14:textId="77777777" w:rsidR="00EE7B65" w:rsidRDefault="00EE7B65" w:rsidP="00694A52">
      <w:pPr>
        <w:spacing w:line="276" w:lineRule="auto"/>
        <w:jc w:val="both"/>
        <w:rPr>
          <w:lang w:val="en-US"/>
        </w:rPr>
      </w:pPr>
    </w:p>
    <w:p w14:paraId="65706C77" w14:textId="77777777" w:rsidR="00C66434" w:rsidRPr="004600F9" w:rsidRDefault="00C66434" w:rsidP="00C66434">
      <w:pPr>
        <w:spacing w:line="276" w:lineRule="auto"/>
        <w:jc w:val="both"/>
        <w:rPr>
          <w:rFonts w:cstheme="minorHAnsi"/>
          <w:b/>
          <w:bCs/>
          <w:color w:val="000000" w:themeColor="text1"/>
          <w:lang w:val="en-US"/>
        </w:rPr>
      </w:pPr>
      <w:r w:rsidRPr="004600F9">
        <w:rPr>
          <w:rFonts w:cstheme="minorHAnsi"/>
          <w:b/>
          <w:bCs/>
          <w:color w:val="000000" w:themeColor="text1"/>
          <w:lang w:val="en-US"/>
        </w:rPr>
        <w:t>REFERENCES</w:t>
      </w:r>
    </w:p>
    <w:p w14:paraId="24FE09F1" w14:textId="77777777" w:rsidR="00C66434" w:rsidRPr="004600F9" w:rsidRDefault="00C66434" w:rsidP="00C66434">
      <w:pPr>
        <w:pStyle w:val="ListParagraph"/>
        <w:numPr>
          <w:ilvl w:val="0"/>
          <w:numId w:val="1"/>
        </w:numPr>
        <w:spacing w:line="276" w:lineRule="auto"/>
        <w:jc w:val="both"/>
        <w:rPr>
          <w:rFonts w:cstheme="minorHAnsi"/>
          <w:color w:val="000000" w:themeColor="text1"/>
          <w:lang w:val="en-US"/>
        </w:rPr>
      </w:pPr>
      <w:proofErr w:type="spellStart"/>
      <w:r w:rsidRPr="004600F9">
        <w:rPr>
          <w:rFonts w:cstheme="minorHAnsi"/>
          <w:b/>
          <w:bCs/>
          <w:color w:val="000000" w:themeColor="text1"/>
          <w:lang w:val="en-US"/>
        </w:rPr>
        <w:t>Simonetto</w:t>
      </w:r>
      <w:proofErr w:type="spellEnd"/>
      <w:r w:rsidRPr="004600F9">
        <w:rPr>
          <w:rFonts w:cstheme="minorHAnsi"/>
          <w:b/>
          <w:bCs/>
          <w:color w:val="000000" w:themeColor="text1"/>
          <w:lang w:val="en-US"/>
        </w:rPr>
        <w:t xml:space="preserve"> DA</w:t>
      </w:r>
      <w:r w:rsidRPr="004600F9">
        <w:rPr>
          <w:rFonts w:cstheme="minorHAnsi"/>
          <w:color w:val="000000" w:themeColor="text1"/>
          <w:lang w:val="en-US"/>
        </w:rPr>
        <w:t>, Liu M, Kamath PS. Portal hypertension and related complications: Diagnosis and management. Mayo clin proc. 2019;</w:t>
      </w:r>
      <w:r w:rsidRPr="004600F9">
        <w:rPr>
          <w:rFonts w:cstheme="minorHAnsi"/>
          <w:b/>
          <w:bCs/>
          <w:color w:val="000000" w:themeColor="text1"/>
          <w:lang w:val="en-US"/>
        </w:rPr>
        <w:t>94</w:t>
      </w:r>
      <w:r w:rsidRPr="004600F9">
        <w:rPr>
          <w:rFonts w:cstheme="minorHAnsi"/>
          <w:color w:val="000000" w:themeColor="text1"/>
          <w:lang w:val="en-US"/>
        </w:rPr>
        <w:t>:714-26 [PMID: 30947834 DOI: 10.1016/j.mayocp.2018.12.020]</w:t>
      </w:r>
    </w:p>
    <w:p w14:paraId="40D02DEE" w14:textId="1072446E" w:rsidR="00C66434" w:rsidRDefault="00C66434" w:rsidP="00C66434">
      <w:pPr>
        <w:pStyle w:val="ListParagraph"/>
        <w:numPr>
          <w:ilvl w:val="0"/>
          <w:numId w:val="1"/>
        </w:numPr>
        <w:spacing w:line="276" w:lineRule="auto"/>
        <w:jc w:val="both"/>
        <w:rPr>
          <w:rFonts w:cstheme="minorHAnsi"/>
          <w:color w:val="000000" w:themeColor="text1"/>
          <w:lang w:val="en-US"/>
        </w:rPr>
      </w:pPr>
      <w:r w:rsidRPr="004600F9">
        <w:rPr>
          <w:rFonts w:cstheme="minorHAnsi"/>
          <w:b/>
          <w:bCs/>
          <w:color w:val="000000" w:themeColor="text1"/>
          <w:lang w:val="en-US"/>
        </w:rPr>
        <w:lastRenderedPageBreak/>
        <w:t>Berzigotti A.</w:t>
      </w:r>
      <w:r w:rsidRPr="004600F9">
        <w:rPr>
          <w:rFonts w:cstheme="minorHAnsi"/>
          <w:color w:val="000000" w:themeColor="text1"/>
          <w:lang w:val="en-US"/>
        </w:rPr>
        <w:t xml:space="preserve"> Advances and challenges in cirrhosis and portal hypertension. BMC Med. 2017;</w:t>
      </w:r>
      <w:r w:rsidRPr="004600F9">
        <w:rPr>
          <w:rFonts w:cstheme="minorHAnsi"/>
          <w:b/>
          <w:bCs/>
          <w:color w:val="000000" w:themeColor="text1"/>
          <w:lang w:val="en-US"/>
        </w:rPr>
        <w:t>15</w:t>
      </w:r>
      <w:r w:rsidRPr="004600F9">
        <w:rPr>
          <w:rFonts w:cstheme="minorHAnsi"/>
          <w:color w:val="000000" w:themeColor="text1"/>
          <w:lang w:val="en-US"/>
        </w:rPr>
        <w:t>:200 [DOI: 10.1186/s12916-017-0966-6]</w:t>
      </w:r>
    </w:p>
    <w:p w14:paraId="4E51D231" w14:textId="77777777" w:rsidR="00A91312" w:rsidRPr="004600F9" w:rsidRDefault="00A91312" w:rsidP="00A91312">
      <w:pPr>
        <w:pStyle w:val="ListParagraph"/>
        <w:numPr>
          <w:ilvl w:val="0"/>
          <w:numId w:val="1"/>
        </w:numPr>
        <w:spacing w:line="276" w:lineRule="auto"/>
        <w:jc w:val="both"/>
        <w:rPr>
          <w:rFonts w:cstheme="minorHAnsi"/>
          <w:color w:val="000000" w:themeColor="text1"/>
          <w:lang w:val="en-US"/>
        </w:rPr>
      </w:pPr>
      <w:r w:rsidRPr="004600F9">
        <w:rPr>
          <w:rFonts w:cstheme="minorHAnsi"/>
          <w:b/>
          <w:bCs/>
          <w:color w:val="000000" w:themeColor="text1"/>
          <w:lang w:val="en-US"/>
        </w:rPr>
        <w:t>Garcia-Tsao G,</w:t>
      </w:r>
      <w:r w:rsidRPr="004600F9">
        <w:rPr>
          <w:rFonts w:cstheme="minorHAnsi"/>
          <w:color w:val="000000" w:themeColor="text1"/>
          <w:lang w:val="en-US"/>
        </w:rPr>
        <w:t xml:space="preserve"> Bosch J, Groszmann RJ. Portal hypertension and variceal bleeding-unresolved issues. Summary of an American Association for The Study of Liver Diseases and European Association for the Study of the Liver single-topic conference. Hepatol. 2008;</w:t>
      </w:r>
      <w:r w:rsidRPr="004600F9">
        <w:rPr>
          <w:rFonts w:cstheme="minorHAnsi"/>
          <w:b/>
          <w:bCs/>
          <w:color w:val="000000" w:themeColor="text1"/>
          <w:lang w:val="en-US"/>
        </w:rPr>
        <w:t>47</w:t>
      </w:r>
      <w:r w:rsidRPr="004600F9">
        <w:rPr>
          <w:rFonts w:cstheme="minorHAnsi"/>
          <w:color w:val="000000" w:themeColor="text1"/>
          <w:lang w:val="en-US"/>
        </w:rPr>
        <w:t>:1764-72 [PMID: 18435460 DOI: 10.1002/hep.22273]</w:t>
      </w:r>
    </w:p>
    <w:p w14:paraId="32890A98" w14:textId="63525960" w:rsidR="002D18B5" w:rsidRPr="002D18B5" w:rsidRDefault="002D18B5" w:rsidP="002D18B5">
      <w:pPr>
        <w:pStyle w:val="ListParagraph"/>
        <w:numPr>
          <w:ilvl w:val="0"/>
          <w:numId w:val="1"/>
        </w:numPr>
        <w:spacing w:line="276" w:lineRule="auto"/>
        <w:jc w:val="both"/>
        <w:rPr>
          <w:sz w:val="22"/>
          <w:szCs w:val="22"/>
          <w:lang w:val="en-US"/>
        </w:rPr>
      </w:pPr>
      <w:r>
        <w:rPr>
          <w:b/>
          <w:bCs/>
          <w:sz w:val="22"/>
          <w:szCs w:val="22"/>
          <w:lang w:val="en-US"/>
        </w:rPr>
        <w:t xml:space="preserve">Sarin SK, </w:t>
      </w:r>
      <w:r>
        <w:rPr>
          <w:sz w:val="22"/>
          <w:szCs w:val="22"/>
          <w:lang w:val="en-US"/>
        </w:rPr>
        <w:t xml:space="preserve">Kumar A, Angus PW, </w:t>
      </w:r>
      <w:proofErr w:type="spellStart"/>
      <w:r>
        <w:rPr>
          <w:sz w:val="22"/>
          <w:szCs w:val="22"/>
          <w:lang w:val="en-US"/>
        </w:rPr>
        <w:t>Baijal</w:t>
      </w:r>
      <w:proofErr w:type="spellEnd"/>
      <w:r>
        <w:rPr>
          <w:sz w:val="22"/>
          <w:szCs w:val="22"/>
          <w:lang w:val="en-US"/>
        </w:rPr>
        <w:t xml:space="preserve"> SS, </w:t>
      </w:r>
      <w:proofErr w:type="spellStart"/>
      <w:r>
        <w:rPr>
          <w:sz w:val="22"/>
          <w:szCs w:val="22"/>
          <w:lang w:val="en-US"/>
        </w:rPr>
        <w:t>Baik</w:t>
      </w:r>
      <w:proofErr w:type="spellEnd"/>
      <w:r>
        <w:rPr>
          <w:sz w:val="22"/>
          <w:szCs w:val="22"/>
          <w:lang w:val="en-US"/>
        </w:rPr>
        <w:t xml:space="preserve"> SK, </w:t>
      </w:r>
      <w:proofErr w:type="spellStart"/>
      <w:r>
        <w:rPr>
          <w:sz w:val="22"/>
          <w:szCs w:val="22"/>
          <w:lang w:val="en-US"/>
        </w:rPr>
        <w:t>Bayraktar</w:t>
      </w:r>
      <w:proofErr w:type="spellEnd"/>
      <w:r>
        <w:rPr>
          <w:sz w:val="22"/>
          <w:szCs w:val="22"/>
          <w:lang w:val="en-US"/>
        </w:rPr>
        <w:t xml:space="preserve"> Y, </w:t>
      </w:r>
      <w:r w:rsidR="004D55B7">
        <w:rPr>
          <w:sz w:val="22"/>
          <w:szCs w:val="22"/>
          <w:lang w:val="en-US"/>
        </w:rPr>
        <w:t>et al. Diagnosis and management of acute variceal bleeding: Asian Pacific Association for Study of the Liver recommendations. Hepatol Int 2011;</w:t>
      </w:r>
      <w:r w:rsidR="004D55B7">
        <w:rPr>
          <w:b/>
          <w:bCs/>
          <w:sz w:val="22"/>
          <w:szCs w:val="22"/>
          <w:lang w:val="en-US"/>
        </w:rPr>
        <w:t>5</w:t>
      </w:r>
      <w:r w:rsidR="004D55B7">
        <w:rPr>
          <w:sz w:val="22"/>
          <w:szCs w:val="22"/>
          <w:lang w:val="en-US"/>
        </w:rPr>
        <w:t>:607-24 [PMID: 21484145 DOI: 10.1007/s12072-010-9236-9]</w:t>
      </w:r>
      <w:r>
        <w:rPr>
          <w:sz w:val="22"/>
          <w:szCs w:val="22"/>
          <w:lang w:val="en-US"/>
        </w:rPr>
        <w:t xml:space="preserve"> </w:t>
      </w:r>
    </w:p>
    <w:p w14:paraId="1A1DFF57" w14:textId="1B37461A" w:rsidR="002D18B5" w:rsidRDefault="002D18B5" w:rsidP="002D18B5">
      <w:pPr>
        <w:pStyle w:val="ListParagraph"/>
        <w:numPr>
          <w:ilvl w:val="0"/>
          <w:numId w:val="1"/>
        </w:numPr>
        <w:spacing w:line="276" w:lineRule="auto"/>
        <w:jc w:val="both"/>
        <w:rPr>
          <w:sz w:val="22"/>
          <w:szCs w:val="22"/>
          <w:lang w:val="en-US"/>
        </w:rPr>
      </w:pPr>
      <w:r w:rsidRPr="002D18B5">
        <w:rPr>
          <w:b/>
          <w:bCs/>
          <w:sz w:val="22"/>
          <w:szCs w:val="22"/>
          <w:lang w:val="en-US"/>
        </w:rPr>
        <w:t>Lesmana CRA,</w:t>
      </w:r>
      <w:r>
        <w:rPr>
          <w:sz w:val="22"/>
          <w:szCs w:val="22"/>
          <w:lang w:val="en-US"/>
        </w:rPr>
        <w:t xml:space="preserve"> </w:t>
      </w:r>
      <w:proofErr w:type="spellStart"/>
      <w:r>
        <w:rPr>
          <w:sz w:val="22"/>
          <w:szCs w:val="22"/>
          <w:lang w:val="en-US"/>
        </w:rPr>
        <w:t>Raharjo</w:t>
      </w:r>
      <w:proofErr w:type="spellEnd"/>
      <w:r>
        <w:rPr>
          <w:sz w:val="22"/>
          <w:szCs w:val="22"/>
          <w:lang w:val="en-US"/>
        </w:rPr>
        <w:t xml:space="preserve"> M, Gani RA. Managing liver cirrhotic complications: </w:t>
      </w:r>
      <w:proofErr w:type="spellStart"/>
      <w:r>
        <w:rPr>
          <w:sz w:val="22"/>
          <w:szCs w:val="22"/>
          <w:lang w:val="en-US"/>
        </w:rPr>
        <w:t>Oveview</w:t>
      </w:r>
      <w:proofErr w:type="spellEnd"/>
      <w:r>
        <w:rPr>
          <w:sz w:val="22"/>
          <w:szCs w:val="22"/>
          <w:lang w:val="en-US"/>
        </w:rPr>
        <w:t xml:space="preserve"> of esophageal and gastric varices. Clin and Mol Hepatol 2020;</w:t>
      </w:r>
      <w:r>
        <w:rPr>
          <w:b/>
          <w:bCs/>
          <w:sz w:val="22"/>
          <w:szCs w:val="22"/>
          <w:lang w:val="en-US"/>
        </w:rPr>
        <w:t>26</w:t>
      </w:r>
      <w:r>
        <w:rPr>
          <w:sz w:val="22"/>
          <w:szCs w:val="22"/>
          <w:lang w:val="en-US"/>
        </w:rPr>
        <w:t>:444-460 [PMID 33053928 DOI: 10.3350/cmh.2020.0022]</w:t>
      </w:r>
    </w:p>
    <w:p w14:paraId="0AB7F57F" w14:textId="4CD47C2B" w:rsidR="00A91312" w:rsidRDefault="00273F2B" w:rsidP="00C66434">
      <w:pPr>
        <w:pStyle w:val="ListParagraph"/>
        <w:numPr>
          <w:ilvl w:val="0"/>
          <w:numId w:val="1"/>
        </w:numPr>
        <w:spacing w:line="276" w:lineRule="auto"/>
        <w:jc w:val="both"/>
        <w:rPr>
          <w:rFonts w:cstheme="minorHAnsi"/>
          <w:color w:val="000000" w:themeColor="text1"/>
          <w:lang w:val="en-US"/>
        </w:rPr>
      </w:pPr>
      <w:r>
        <w:rPr>
          <w:rFonts w:cstheme="minorHAnsi"/>
          <w:b/>
          <w:bCs/>
          <w:color w:val="000000" w:themeColor="text1"/>
          <w:lang w:val="en-US"/>
        </w:rPr>
        <w:t xml:space="preserve">European Association for the Study of the Liver. </w:t>
      </w:r>
      <w:r>
        <w:rPr>
          <w:rFonts w:cstheme="minorHAnsi"/>
          <w:color w:val="000000" w:themeColor="text1"/>
          <w:lang w:val="en-US"/>
        </w:rPr>
        <w:t>EASL clinical practice guidelines for the management of patients with decompensated cirrhosis. J Hepatol 2018;</w:t>
      </w:r>
      <w:r>
        <w:rPr>
          <w:rFonts w:cstheme="minorHAnsi"/>
          <w:b/>
          <w:bCs/>
          <w:color w:val="000000" w:themeColor="text1"/>
          <w:lang w:val="en-US"/>
        </w:rPr>
        <w:t>69</w:t>
      </w:r>
      <w:r>
        <w:rPr>
          <w:rFonts w:cstheme="minorHAnsi"/>
          <w:color w:val="000000" w:themeColor="text1"/>
          <w:lang w:val="en-US"/>
        </w:rPr>
        <w:t>:406-60 [PMID: 296</w:t>
      </w:r>
      <w:r w:rsidR="00E03957">
        <w:rPr>
          <w:rFonts w:cstheme="minorHAnsi"/>
          <w:color w:val="000000" w:themeColor="text1"/>
          <w:lang w:val="en-US"/>
        </w:rPr>
        <w:t>53741 DOI: 10.1016/j.jhep.2018.03.024]</w:t>
      </w:r>
    </w:p>
    <w:p w14:paraId="0EAC524B" w14:textId="6E26AC2F" w:rsidR="009F6191" w:rsidRDefault="009F6191" w:rsidP="00C66434">
      <w:pPr>
        <w:pStyle w:val="ListParagraph"/>
        <w:numPr>
          <w:ilvl w:val="0"/>
          <w:numId w:val="1"/>
        </w:numPr>
        <w:spacing w:line="276" w:lineRule="auto"/>
        <w:jc w:val="both"/>
        <w:rPr>
          <w:rFonts w:cstheme="minorHAnsi"/>
          <w:color w:val="000000" w:themeColor="text1"/>
          <w:lang w:val="en-US"/>
        </w:rPr>
      </w:pPr>
      <w:r w:rsidRPr="009F6191">
        <w:rPr>
          <w:rFonts w:cstheme="minorHAnsi"/>
          <w:b/>
          <w:bCs/>
          <w:color w:val="000000" w:themeColor="text1"/>
          <w:lang w:val="en-US"/>
        </w:rPr>
        <w:t>Funakoshi N,</w:t>
      </w:r>
      <w:r>
        <w:rPr>
          <w:rFonts w:cstheme="minorHAnsi"/>
          <w:color w:val="000000" w:themeColor="text1"/>
          <w:lang w:val="en-US"/>
        </w:rPr>
        <w:t xml:space="preserve"> </w:t>
      </w:r>
      <w:proofErr w:type="spellStart"/>
      <w:r>
        <w:rPr>
          <w:rFonts w:cstheme="minorHAnsi"/>
          <w:color w:val="000000" w:themeColor="text1"/>
          <w:lang w:val="en-US"/>
        </w:rPr>
        <w:t>Duny</w:t>
      </w:r>
      <w:proofErr w:type="spellEnd"/>
      <w:r>
        <w:rPr>
          <w:rFonts w:cstheme="minorHAnsi"/>
          <w:color w:val="000000" w:themeColor="text1"/>
          <w:lang w:val="en-US"/>
        </w:rPr>
        <w:t xml:space="preserve"> Y, </w:t>
      </w:r>
      <w:proofErr w:type="spellStart"/>
      <w:r>
        <w:rPr>
          <w:rFonts w:cstheme="minorHAnsi"/>
          <w:color w:val="000000" w:themeColor="text1"/>
          <w:lang w:val="en-US"/>
        </w:rPr>
        <w:t>Valats</w:t>
      </w:r>
      <w:proofErr w:type="spellEnd"/>
      <w:r>
        <w:rPr>
          <w:rFonts w:cstheme="minorHAnsi"/>
          <w:color w:val="000000" w:themeColor="text1"/>
          <w:lang w:val="en-US"/>
        </w:rPr>
        <w:t xml:space="preserve"> JC, </w:t>
      </w:r>
      <w:proofErr w:type="spellStart"/>
      <w:r>
        <w:rPr>
          <w:rFonts w:cstheme="minorHAnsi"/>
          <w:color w:val="000000" w:themeColor="text1"/>
          <w:lang w:val="en-US"/>
        </w:rPr>
        <w:t>Segalas-Largey</w:t>
      </w:r>
      <w:proofErr w:type="spellEnd"/>
      <w:r>
        <w:rPr>
          <w:rFonts w:cstheme="minorHAnsi"/>
          <w:color w:val="000000" w:themeColor="text1"/>
          <w:lang w:val="en-US"/>
        </w:rPr>
        <w:t xml:space="preserve"> F, </w:t>
      </w:r>
      <w:proofErr w:type="spellStart"/>
      <w:r>
        <w:rPr>
          <w:rFonts w:cstheme="minorHAnsi"/>
          <w:color w:val="000000" w:themeColor="text1"/>
          <w:lang w:val="en-US"/>
        </w:rPr>
        <w:t>Flori</w:t>
      </w:r>
      <w:proofErr w:type="spellEnd"/>
      <w:r>
        <w:rPr>
          <w:rFonts w:cstheme="minorHAnsi"/>
          <w:color w:val="000000" w:themeColor="text1"/>
          <w:lang w:val="en-US"/>
        </w:rPr>
        <w:t xml:space="preserve"> N, Bismuth M, et al. Meta-analysis: beta-blockers versus banding ligation for primary prophylaxis of esophageal variceal bleeding. Ann Hepatol 2012;</w:t>
      </w:r>
      <w:r>
        <w:rPr>
          <w:rFonts w:cstheme="minorHAnsi"/>
          <w:b/>
          <w:bCs/>
          <w:color w:val="000000" w:themeColor="text1"/>
          <w:lang w:val="en-US"/>
        </w:rPr>
        <w:t>11</w:t>
      </w:r>
      <w:r>
        <w:rPr>
          <w:rFonts w:cstheme="minorHAnsi"/>
          <w:color w:val="000000" w:themeColor="text1"/>
          <w:lang w:val="en-US"/>
        </w:rPr>
        <w:t>:369-83 [DOI: 10.1016/S1665-2681(19)30934-2]</w:t>
      </w:r>
    </w:p>
    <w:p w14:paraId="5CA86B2D" w14:textId="13167B13" w:rsidR="001603F1" w:rsidRDefault="001603F1" w:rsidP="00C66434">
      <w:pPr>
        <w:pStyle w:val="ListParagraph"/>
        <w:numPr>
          <w:ilvl w:val="0"/>
          <w:numId w:val="1"/>
        </w:numPr>
        <w:spacing w:line="276" w:lineRule="auto"/>
        <w:jc w:val="both"/>
        <w:rPr>
          <w:rFonts w:cstheme="minorHAnsi"/>
          <w:color w:val="000000" w:themeColor="text1"/>
          <w:lang w:val="en-US"/>
        </w:rPr>
      </w:pPr>
      <w:proofErr w:type="spellStart"/>
      <w:r w:rsidRPr="009B2D43">
        <w:rPr>
          <w:rFonts w:cstheme="minorHAnsi"/>
          <w:b/>
          <w:bCs/>
          <w:color w:val="000000" w:themeColor="text1"/>
          <w:lang w:val="en-US"/>
        </w:rPr>
        <w:t>Steib</w:t>
      </w:r>
      <w:proofErr w:type="spellEnd"/>
      <w:r w:rsidRPr="009B2D43">
        <w:rPr>
          <w:rFonts w:cstheme="minorHAnsi"/>
          <w:b/>
          <w:bCs/>
          <w:color w:val="000000" w:themeColor="text1"/>
          <w:lang w:val="en-US"/>
        </w:rPr>
        <w:t xml:space="preserve"> CJ,</w:t>
      </w:r>
      <w:r>
        <w:rPr>
          <w:rFonts w:cstheme="minorHAnsi"/>
          <w:color w:val="000000" w:themeColor="text1"/>
          <w:lang w:val="en-US"/>
        </w:rPr>
        <w:t xml:space="preserve"> </w:t>
      </w:r>
      <w:proofErr w:type="spellStart"/>
      <w:r>
        <w:rPr>
          <w:rFonts w:cstheme="minorHAnsi"/>
          <w:color w:val="000000" w:themeColor="text1"/>
          <w:lang w:val="en-US"/>
        </w:rPr>
        <w:t>Gerbes</w:t>
      </w:r>
      <w:proofErr w:type="spellEnd"/>
      <w:r>
        <w:rPr>
          <w:rFonts w:cstheme="minorHAnsi"/>
          <w:color w:val="000000" w:themeColor="text1"/>
          <w:lang w:val="en-US"/>
        </w:rPr>
        <w:t xml:space="preserve"> AL. </w:t>
      </w:r>
      <w:r w:rsidR="009B2D43">
        <w:rPr>
          <w:rFonts w:cstheme="minorHAnsi"/>
          <w:color w:val="000000" w:themeColor="text1"/>
          <w:lang w:val="en-US"/>
        </w:rPr>
        <w:t xml:space="preserve">Secondary prophylaxis for variceal bleeding: carvedilol vs. </w:t>
      </w:r>
      <w:proofErr w:type="spellStart"/>
      <w:r w:rsidR="009B2D43">
        <w:rPr>
          <w:rFonts w:cstheme="minorHAnsi"/>
          <w:color w:val="000000" w:themeColor="text1"/>
          <w:lang w:val="en-US"/>
        </w:rPr>
        <w:t>propanolol</w:t>
      </w:r>
      <w:proofErr w:type="spellEnd"/>
      <w:r w:rsidR="009B2D43">
        <w:rPr>
          <w:rFonts w:cstheme="minorHAnsi"/>
          <w:color w:val="000000" w:themeColor="text1"/>
          <w:lang w:val="en-US"/>
        </w:rPr>
        <w:t>. Hepatol Int 2017;</w:t>
      </w:r>
      <w:r w:rsidR="009B2D43">
        <w:rPr>
          <w:rFonts w:cstheme="minorHAnsi"/>
          <w:b/>
          <w:bCs/>
          <w:color w:val="000000" w:themeColor="text1"/>
          <w:lang w:val="en-US"/>
        </w:rPr>
        <w:t>11</w:t>
      </w:r>
      <w:r w:rsidR="009B2D43">
        <w:rPr>
          <w:rFonts w:cstheme="minorHAnsi"/>
          <w:color w:val="000000" w:themeColor="text1"/>
          <w:lang w:val="en-US"/>
        </w:rPr>
        <w:t>:141-2 [DOI: 10.1007/s12072-017-9791-4]</w:t>
      </w:r>
    </w:p>
    <w:p w14:paraId="607C348F" w14:textId="74964011" w:rsidR="009B2D43" w:rsidRDefault="004520BB" w:rsidP="00C66434">
      <w:pPr>
        <w:pStyle w:val="ListParagraph"/>
        <w:numPr>
          <w:ilvl w:val="0"/>
          <w:numId w:val="1"/>
        </w:numPr>
        <w:spacing w:line="276" w:lineRule="auto"/>
        <w:jc w:val="both"/>
        <w:rPr>
          <w:rFonts w:cstheme="minorHAnsi"/>
          <w:color w:val="000000" w:themeColor="text1"/>
          <w:lang w:val="en-US"/>
        </w:rPr>
      </w:pPr>
      <w:r>
        <w:rPr>
          <w:rFonts w:cstheme="minorHAnsi"/>
          <w:b/>
          <w:bCs/>
          <w:color w:val="000000" w:themeColor="text1"/>
          <w:lang w:val="en-US"/>
        </w:rPr>
        <w:t>Stanley AJ,</w:t>
      </w:r>
      <w:r>
        <w:rPr>
          <w:rFonts w:cstheme="minorHAnsi"/>
          <w:color w:val="000000" w:themeColor="text1"/>
          <w:lang w:val="en-US"/>
        </w:rPr>
        <w:t xml:space="preserve"> Dickson S, Hayes PC, Forrest EH, Mills PR, Tripathi D, et al. Multicentre </w:t>
      </w:r>
      <w:proofErr w:type="spellStart"/>
      <w:r>
        <w:rPr>
          <w:rFonts w:cstheme="minorHAnsi"/>
          <w:color w:val="000000" w:themeColor="text1"/>
          <w:lang w:val="en-US"/>
        </w:rPr>
        <w:t>randomised</w:t>
      </w:r>
      <w:proofErr w:type="spellEnd"/>
      <w:r>
        <w:rPr>
          <w:rFonts w:cstheme="minorHAnsi"/>
          <w:color w:val="000000" w:themeColor="text1"/>
          <w:lang w:val="en-US"/>
        </w:rPr>
        <w:t xml:space="preserve"> controlled study comparing carvedilol with variceal band ligation in the prevention of variceal bleeding. J Hepatol 2014;</w:t>
      </w:r>
      <w:r>
        <w:rPr>
          <w:rFonts w:cstheme="minorHAnsi"/>
          <w:b/>
          <w:bCs/>
          <w:color w:val="000000" w:themeColor="text1"/>
          <w:lang w:val="en-US"/>
        </w:rPr>
        <w:t>61</w:t>
      </w:r>
      <w:r>
        <w:rPr>
          <w:rFonts w:cstheme="minorHAnsi"/>
          <w:color w:val="000000" w:themeColor="text1"/>
          <w:lang w:val="en-US"/>
        </w:rPr>
        <w:t>:1014-9 [PMID: 24953021 DOI: 10.1016/j.jhep.2014.06.015]</w:t>
      </w:r>
    </w:p>
    <w:p w14:paraId="4324AF28" w14:textId="5F02B4A4" w:rsidR="004520BB" w:rsidRDefault="00BC1D29" w:rsidP="00C66434">
      <w:pPr>
        <w:pStyle w:val="ListParagraph"/>
        <w:numPr>
          <w:ilvl w:val="0"/>
          <w:numId w:val="1"/>
        </w:numPr>
        <w:spacing w:line="276" w:lineRule="auto"/>
        <w:jc w:val="both"/>
        <w:rPr>
          <w:rFonts w:cstheme="minorHAnsi"/>
          <w:color w:val="000000" w:themeColor="text1"/>
          <w:lang w:val="en-US"/>
        </w:rPr>
      </w:pPr>
      <w:proofErr w:type="spellStart"/>
      <w:r w:rsidRPr="00BC1D29">
        <w:rPr>
          <w:rFonts w:cstheme="minorHAnsi"/>
          <w:b/>
          <w:bCs/>
          <w:color w:val="000000" w:themeColor="text1"/>
          <w:lang w:val="en-US"/>
        </w:rPr>
        <w:t>Malandris</w:t>
      </w:r>
      <w:proofErr w:type="spellEnd"/>
      <w:r w:rsidRPr="00BC1D29">
        <w:rPr>
          <w:rFonts w:cstheme="minorHAnsi"/>
          <w:b/>
          <w:bCs/>
          <w:color w:val="000000" w:themeColor="text1"/>
          <w:lang w:val="en-US"/>
        </w:rPr>
        <w:t xml:space="preserve"> K,</w:t>
      </w:r>
      <w:r>
        <w:rPr>
          <w:rFonts w:cstheme="minorHAnsi"/>
          <w:color w:val="000000" w:themeColor="text1"/>
          <w:lang w:val="en-US"/>
        </w:rPr>
        <w:t xml:space="preserve"> </w:t>
      </w:r>
      <w:proofErr w:type="spellStart"/>
      <w:r>
        <w:rPr>
          <w:rFonts w:cstheme="minorHAnsi"/>
          <w:color w:val="000000" w:themeColor="text1"/>
          <w:lang w:val="en-US"/>
        </w:rPr>
        <w:t>Paschos</w:t>
      </w:r>
      <w:proofErr w:type="spellEnd"/>
      <w:r>
        <w:rPr>
          <w:rFonts w:cstheme="minorHAnsi"/>
          <w:color w:val="000000" w:themeColor="text1"/>
          <w:lang w:val="en-US"/>
        </w:rPr>
        <w:t xml:space="preserve"> P, </w:t>
      </w:r>
      <w:proofErr w:type="spellStart"/>
      <w:r>
        <w:rPr>
          <w:rFonts w:cstheme="minorHAnsi"/>
          <w:color w:val="000000" w:themeColor="text1"/>
          <w:lang w:val="en-US"/>
        </w:rPr>
        <w:t>Katsoula</w:t>
      </w:r>
      <w:proofErr w:type="spellEnd"/>
      <w:r>
        <w:rPr>
          <w:rFonts w:cstheme="minorHAnsi"/>
          <w:color w:val="000000" w:themeColor="text1"/>
          <w:lang w:val="en-US"/>
        </w:rPr>
        <w:t xml:space="preserve"> A, </w:t>
      </w:r>
      <w:proofErr w:type="spellStart"/>
      <w:r>
        <w:rPr>
          <w:rFonts w:cstheme="minorHAnsi"/>
          <w:color w:val="000000" w:themeColor="text1"/>
          <w:lang w:val="en-US"/>
        </w:rPr>
        <w:t>Manolopoulos</w:t>
      </w:r>
      <w:proofErr w:type="spellEnd"/>
      <w:r>
        <w:rPr>
          <w:rFonts w:cstheme="minorHAnsi"/>
          <w:color w:val="000000" w:themeColor="text1"/>
          <w:lang w:val="en-US"/>
        </w:rPr>
        <w:t xml:space="preserve"> A, </w:t>
      </w:r>
      <w:proofErr w:type="spellStart"/>
      <w:r>
        <w:rPr>
          <w:rFonts w:cstheme="minorHAnsi"/>
          <w:color w:val="000000" w:themeColor="text1"/>
          <w:lang w:val="en-US"/>
        </w:rPr>
        <w:t>Andreadis</w:t>
      </w:r>
      <w:proofErr w:type="spellEnd"/>
      <w:r>
        <w:rPr>
          <w:rFonts w:cstheme="minorHAnsi"/>
          <w:color w:val="000000" w:themeColor="text1"/>
          <w:lang w:val="en-US"/>
        </w:rPr>
        <w:t xml:space="preserve"> P, </w:t>
      </w:r>
      <w:proofErr w:type="spellStart"/>
      <w:r>
        <w:rPr>
          <w:rFonts w:cstheme="minorHAnsi"/>
          <w:color w:val="000000" w:themeColor="text1"/>
          <w:lang w:val="en-US"/>
        </w:rPr>
        <w:t>Sarigianni</w:t>
      </w:r>
      <w:proofErr w:type="spellEnd"/>
      <w:r>
        <w:rPr>
          <w:rFonts w:cstheme="minorHAnsi"/>
          <w:color w:val="000000" w:themeColor="text1"/>
          <w:lang w:val="en-US"/>
        </w:rPr>
        <w:t xml:space="preserve"> M, et al. Carvedilol for prevention of variceal bleeding: a systematic review and meta-analysis. Ann Gastroenterol 2019;</w:t>
      </w:r>
      <w:r>
        <w:rPr>
          <w:rFonts w:cstheme="minorHAnsi"/>
          <w:b/>
          <w:bCs/>
          <w:color w:val="000000" w:themeColor="text1"/>
          <w:lang w:val="en-US"/>
        </w:rPr>
        <w:t>32</w:t>
      </w:r>
      <w:r>
        <w:rPr>
          <w:rFonts w:cstheme="minorHAnsi"/>
          <w:color w:val="000000" w:themeColor="text1"/>
          <w:lang w:val="en-US"/>
        </w:rPr>
        <w:t>:287-97 [PMID: 31040627 DOI: 10.20524/aog.2019.0368]</w:t>
      </w:r>
    </w:p>
    <w:p w14:paraId="05D8D29F" w14:textId="694B3914" w:rsidR="00BC1D29" w:rsidRDefault="00A4596A" w:rsidP="00C66434">
      <w:pPr>
        <w:pStyle w:val="ListParagraph"/>
        <w:numPr>
          <w:ilvl w:val="0"/>
          <w:numId w:val="1"/>
        </w:numPr>
        <w:spacing w:line="276" w:lineRule="auto"/>
        <w:jc w:val="both"/>
        <w:rPr>
          <w:rFonts w:cstheme="minorHAnsi"/>
          <w:color w:val="000000" w:themeColor="text1"/>
          <w:lang w:val="en-US"/>
        </w:rPr>
      </w:pPr>
      <w:r>
        <w:rPr>
          <w:rFonts w:cstheme="minorHAnsi"/>
          <w:b/>
          <w:bCs/>
          <w:color w:val="000000" w:themeColor="text1"/>
          <w:lang w:val="en-US"/>
        </w:rPr>
        <w:t>Dunne PDJ,</w:t>
      </w:r>
      <w:r>
        <w:rPr>
          <w:rFonts w:cstheme="minorHAnsi"/>
          <w:color w:val="000000" w:themeColor="text1"/>
          <w:lang w:val="en-US"/>
        </w:rPr>
        <w:t xml:space="preserve"> Sinha R, Stanley AJ, Lachlan N, Ireland H, Shams A, et al. </w:t>
      </w:r>
      <w:proofErr w:type="spellStart"/>
      <w:r>
        <w:rPr>
          <w:rFonts w:cstheme="minorHAnsi"/>
          <w:color w:val="000000" w:themeColor="text1"/>
          <w:lang w:val="en-US"/>
        </w:rPr>
        <w:t>Randomised</w:t>
      </w:r>
      <w:proofErr w:type="spellEnd"/>
      <w:r>
        <w:rPr>
          <w:rFonts w:cstheme="minorHAnsi"/>
          <w:color w:val="000000" w:themeColor="text1"/>
          <w:lang w:val="en-US"/>
        </w:rPr>
        <w:t xml:space="preserve"> clinical trial: standard of care versus early-transjugular intrahepatic porto-systemic shunt (TIPSS) in patients with cirrhosis and oesophageal variceal bleeding. Aliment Pharmacol Ther 2020;</w:t>
      </w:r>
      <w:r>
        <w:rPr>
          <w:rFonts w:cstheme="minorHAnsi"/>
          <w:b/>
          <w:bCs/>
          <w:color w:val="000000" w:themeColor="text1"/>
          <w:lang w:val="en-US"/>
        </w:rPr>
        <w:t>52</w:t>
      </w:r>
      <w:r>
        <w:rPr>
          <w:rFonts w:cstheme="minorHAnsi"/>
          <w:color w:val="000000" w:themeColor="text1"/>
          <w:lang w:val="en-US"/>
        </w:rPr>
        <w:t>:98-106 [PMID: 32452561 DOI: 10.1111/apt.15797]</w:t>
      </w:r>
    </w:p>
    <w:p w14:paraId="05D99527" w14:textId="1ED29AFA" w:rsidR="00A4596A" w:rsidRDefault="00E34A42" w:rsidP="00C66434">
      <w:pPr>
        <w:pStyle w:val="ListParagraph"/>
        <w:numPr>
          <w:ilvl w:val="0"/>
          <w:numId w:val="1"/>
        </w:numPr>
        <w:spacing w:line="276" w:lineRule="auto"/>
        <w:jc w:val="both"/>
        <w:rPr>
          <w:rFonts w:cstheme="minorHAnsi"/>
          <w:color w:val="000000" w:themeColor="text1"/>
          <w:lang w:val="en-US"/>
        </w:rPr>
      </w:pPr>
      <w:proofErr w:type="spellStart"/>
      <w:r>
        <w:rPr>
          <w:rFonts w:cstheme="minorHAnsi"/>
          <w:b/>
          <w:bCs/>
          <w:color w:val="000000" w:themeColor="text1"/>
          <w:lang w:val="en-US"/>
        </w:rPr>
        <w:t>Nicoara-Farcau</w:t>
      </w:r>
      <w:proofErr w:type="spellEnd"/>
      <w:r>
        <w:rPr>
          <w:rFonts w:cstheme="minorHAnsi"/>
          <w:b/>
          <w:bCs/>
          <w:color w:val="000000" w:themeColor="text1"/>
          <w:lang w:val="en-US"/>
        </w:rPr>
        <w:t xml:space="preserve"> O,</w:t>
      </w:r>
      <w:r>
        <w:rPr>
          <w:rFonts w:cstheme="minorHAnsi"/>
          <w:color w:val="000000" w:themeColor="text1"/>
          <w:lang w:val="en-US"/>
        </w:rPr>
        <w:t xml:space="preserve"> Han G, </w:t>
      </w:r>
      <w:proofErr w:type="spellStart"/>
      <w:r>
        <w:rPr>
          <w:rFonts w:cstheme="minorHAnsi"/>
          <w:color w:val="000000" w:themeColor="text1"/>
          <w:lang w:val="en-US"/>
        </w:rPr>
        <w:t>Rudler</w:t>
      </w:r>
      <w:proofErr w:type="spellEnd"/>
      <w:r>
        <w:rPr>
          <w:rFonts w:cstheme="minorHAnsi"/>
          <w:color w:val="000000" w:themeColor="text1"/>
          <w:lang w:val="en-US"/>
        </w:rPr>
        <w:t xml:space="preserve"> M, </w:t>
      </w:r>
      <w:proofErr w:type="spellStart"/>
      <w:r>
        <w:rPr>
          <w:rFonts w:cstheme="minorHAnsi"/>
          <w:color w:val="000000" w:themeColor="text1"/>
          <w:lang w:val="en-US"/>
        </w:rPr>
        <w:t>Angrisani</w:t>
      </w:r>
      <w:proofErr w:type="spellEnd"/>
      <w:r>
        <w:rPr>
          <w:rFonts w:cstheme="minorHAnsi"/>
          <w:color w:val="000000" w:themeColor="text1"/>
          <w:lang w:val="en-US"/>
        </w:rPr>
        <w:t xml:space="preserve"> D, </w:t>
      </w:r>
      <w:proofErr w:type="spellStart"/>
      <w:r>
        <w:rPr>
          <w:rFonts w:cstheme="minorHAnsi"/>
          <w:color w:val="000000" w:themeColor="text1"/>
          <w:lang w:val="en-US"/>
        </w:rPr>
        <w:t>Monescillo</w:t>
      </w:r>
      <w:proofErr w:type="spellEnd"/>
      <w:r>
        <w:rPr>
          <w:rFonts w:cstheme="minorHAnsi"/>
          <w:color w:val="000000" w:themeColor="text1"/>
          <w:lang w:val="en-US"/>
        </w:rPr>
        <w:t xml:space="preserve"> A, Torres F, et al. Effects of early placement of transjugular portosystemic shunts in patients with high-risk acute variceal bleeding: a meta-analysis of individual patient data. Gastroenterol 2021;</w:t>
      </w:r>
      <w:r>
        <w:rPr>
          <w:rFonts w:cstheme="minorHAnsi"/>
          <w:b/>
          <w:bCs/>
          <w:color w:val="000000" w:themeColor="text1"/>
          <w:lang w:val="en-US"/>
        </w:rPr>
        <w:t>160</w:t>
      </w:r>
      <w:r>
        <w:rPr>
          <w:rFonts w:cstheme="minorHAnsi"/>
          <w:color w:val="000000" w:themeColor="text1"/>
          <w:lang w:val="en-US"/>
        </w:rPr>
        <w:t>:193-205.e10 [PMID: 32980344 DOI: 10.1053/j.gastro.2020.09.026]</w:t>
      </w:r>
    </w:p>
    <w:p w14:paraId="109038EC" w14:textId="1177FD50" w:rsidR="00E34A42" w:rsidRDefault="00E15596" w:rsidP="00C66434">
      <w:pPr>
        <w:pStyle w:val="ListParagraph"/>
        <w:numPr>
          <w:ilvl w:val="0"/>
          <w:numId w:val="1"/>
        </w:numPr>
        <w:spacing w:line="276" w:lineRule="auto"/>
        <w:jc w:val="both"/>
        <w:rPr>
          <w:rFonts w:cstheme="minorHAnsi"/>
          <w:color w:val="000000" w:themeColor="text1"/>
          <w:lang w:val="en-US"/>
        </w:rPr>
      </w:pPr>
      <w:r>
        <w:rPr>
          <w:rFonts w:cstheme="minorHAnsi"/>
          <w:b/>
          <w:bCs/>
          <w:color w:val="000000" w:themeColor="text1"/>
          <w:lang w:val="en-US"/>
        </w:rPr>
        <w:t>Wong YJ,</w:t>
      </w:r>
      <w:r>
        <w:rPr>
          <w:rFonts w:cstheme="minorHAnsi"/>
          <w:color w:val="000000" w:themeColor="text1"/>
          <w:lang w:val="en-US"/>
        </w:rPr>
        <w:t xml:space="preserve"> Ho WLD, </w:t>
      </w:r>
      <w:proofErr w:type="spellStart"/>
      <w:r>
        <w:rPr>
          <w:rFonts w:cstheme="minorHAnsi"/>
          <w:color w:val="000000" w:themeColor="text1"/>
          <w:lang w:val="en-US"/>
        </w:rPr>
        <w:t>Abraldes</w:t>
      </w:r>
      <w:proofErr w:type="spellEnd"/>
      <w:r>
        <w:rPr>
          <w:rFonts w:cstheme="minorHAnsi"/>
          <w:color w:val="000000" w:themeColor="text1"/>
          <w:lang w:val="en-US"/>
        </w:rPr>
        <w:t xml:space="preserve"> JG. Pre-emptive TIPSS in acute variceal bleeding: current status, controversies, and future directions. J Clin Transl Hepatol 2022;</w:t>
      </w:r>
      <w:r>
        <w:rPr>
          <w:rFonts w:cstheme="minorHAnsi"/>
          <w:b/>
          <w:bCs/>
          <w:color w:val="000000" w:themeColor="text1"/>
          <w:lang w:val="en-US"/>
        </w:rPr>
        <w:t>10</w:t>
      </w:r>
      <w:r>
        <w:rPr>
          <w:rFonts w:cstheme="minorHAnsi"/>
          <w:color w:val="000000" w:themeColor="text1"/>
          <w:lang w:val="en-US"/>
        </w:rPr>
        <w:t>:1223-8 [DOI: 10.14218/JCTH.2022.00240]</w:t>
      </w:r>
    </w:p>
    <w:p w14:paraId="433DA680" w14:textId="4CA3A8D8" w:rsidR="00E15596" w:rsidRPr="004600F9" w:rsidRDefault="00F63F15" w:rsidP="00C66434">
      <w:pPr>
        <w:pStyle w:val="ListParagraph"/>
        <w:numPr>
          <w:ilvl w:val="0"/>
          <w:numId w:val="1"/>
        </w:numPr>
        <w:spacing w:line="276" w:lineRule="auto"/>
        <w:jc w:val="both"/>
        <w:rPr>
          <w:rFonts w:cstheme="minorHAnsi"/>
          <w:color w:val="000000" w:themeColor="text1"/>
          <w:lang w:val="en-US"/>
        </w:rPr>
      </w:pPr>
      <w:proofErr w:type="spellStart"/>
      <w:r>
        <w:rPr>
          <w:rFonts w:cstheme="minorHAnsi"/>
          <w:b/>
          <w:bCs/>
          <w:color w:val="000000" w:themeColor="text1"/>
          <w:lang w:val="en-US"/>
        </w:rPr>
        <w:lastRenderedPageBreak/>
        <w:t>Trebicka</w:t>
      </w:r>
      <w:proofErr w:type="spellEnd"/>
      <w:r>
        <w:rPr>
          <w:rFonts w:cstheme="minorHAnsi"/>
          <w:b/>
          <w:bCs/>
          <w:color w:val="000000" w:themeColor="text1"/>
          <w:lang w:val="en-US"/>
        </w:rPr>
        <w:t xml:space="preserve"> J,</w:t>
      </w:r>
      <w:r>
        <w:rPr>
          <w:rFonts w:cstheme="minorHAnsi"/>
          <w:color w:val="000000" w:themeColor="text1"/>
          <w:lang w:val="en-US"/>
        </w:rPr>
        <w:t xml:space="preserve"> Gu W, Ibanez-Samaniego L, Hernandez-Gea V, </w:t>
      </w:r>
      <w:proofErr w:type="spellStart"/>
      <w:r>
        <w:rPr>
          <w:rFonts w:cstheme="minorHAnsi"/>
          <w:color w:val="000000" w:themeColor="text1"/>
          <w:lang w:val="en-US"/>
        </w:rPr>
        <w:t>Pitarch</w:t>
      </w:r>
      <w:proofErr w:type="spellEnd"/>
      <w:r>
        <w:rPr>
          <w:rFonts w:cstheme="minorHAnsi"/>
          <w:color w:val="000000" w:themeColor="text1"/>
          <w:lang w:val="en-US"/>
        </w:rPr>
        <w:t xml:space="preserve"> C, Garcia E, et al. Rebleeding and mortality risk are increased by ACLF but reduced by pre-emptive TIPS. J Hepatol 2020;</w:t>
      </w:r>
      <w:r>
        <w:rPr>
          <w:rFonts w:cstheme="minorHAnsi"/>
          <w:b/>
          <w:bCs/>
          <w:color w:val="000000" w:themeColor="text1"/>
          <w:lang w:val="en-US"/>
        </w:rPr>
        <w:t>73</w:t>
      </w:r>
      <w:r>
        <w:rPr>
          <w:rFonts w:cstheme="minorHAnsi"/>
          <w:color w:val="000000" w:themeColor="text1"/>
          <w:lang w:val="en-US"/>
        </w:rPr>
        <w:t>:1082-91 [DOI: 10.1016/j.jhep.2020.04.024]</w:t>
      </w:r>
    </w:p>
    <w:p w14:paraId="75DAC97B" w14:textId="77777777" w:rsidR="00C66434" w:rsidRPr="007569BA" w:rsidRDefault="00C66434" w:rsidP="00694A52">
      <w:pPr>
        <w:spacing w:line="276" w:lineRule="auto"/>
        <w:jc w:val="both"/>
        <w:rPr>
          <w:lang w:val="en-US"/>
        </w:rPr>
      </w:pPr>
    </w:p>
    <w:sectPr w:rsidR="00C66434" w:rsidRPr="007569B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7541C6"/>
    <w:multiLevelType w:val="hybridMultilevel"/>
    <w:tmpl w:val="6F74260C"/>
    <w:lvl w:ilvl="0" w:tplc="5AFE46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1F3BC5"/>
    <w:multiLevelType w:val="hybridMultilevel"/>
    <w:tmpl w:val="DB32B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6383215">
    <w:abstractNumId w:val="0"/>
  </w:num>
  <w:num w:numId="2" w16cid:durableId="1436051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A52"/>
    <w:rsid w:val="00032639"/>
    <w:rsid w:val="00063B7E"/>
    <w:rsid w:val="00063E42"/>
    <w:rsid w:val="001603F1"/>
    <w:rsid w:val="00273F2B"/>
    <w:rsid w:val="00281F44"/>
    <w:rsid w:val="00297A84"/>
    <w:rsid w:val="002D18B5"/>
    <w:rsid w:val="002F7745"/>
    <w:rsid w:val="00432D03"/>
    <w:rsid w:val="004520BB"/>
    <w:rsid w:val="00493E51"/>
    <w:rsid w:val="004D55B7"/>
    <w:rsid w:val="004D7F50"/>
    <w:rsid w:val="00530376"/>
    <w:rsid w:val="00694A52"/>
    <w:rsid w:val="007569BA"/>
    <w:rsid w:val="007905E6"/>
    <w:rsid w:val="00797178"/>
    <w:rsid w:val="009B2D43"/>
    <w:rsid w:val="009C229C"/>
    <w:rsid w:val="009F6191"/>
    <w:rsid w:val="00A31401"/>
    <w:rsid w:val="00A3753E"/>
    <w:rsid w:val="00A4596A"/>
    <w:rsid w:val="00A91312"/>
    <w:rsid w:val="00AC2DBC"/>
    <w:rsid w:val="00B07E15"/>
    <w:rsid w:val="00BC1D29"/>
    <w:rsid w:val="00C012AA"/>
    <w:rsid w:val="00C66434"/>
    <w:rsid w:val="00C7059D"/>
    <w:rsid w:val="00CC2683"/>
    <w:rsid w:val="00D13EE0"/>
    <w:rsid w:val="00D44CCB"/>
    <w:rsid w:val="00E03957"/>
    <w:rsid w:val="00E15596"/>
    <w:rsid w:val="00E166EF"/>
    <w:rsid w:val="00E206D0"/>
    <w:rsid w:val="00E20C48"/>
    <w:rsid w:val="00E34A42"/>
    <w:rsid w:val="00E52C1B"/>
    <w:rsid w:val="00EC082D"/>
    <w:rsid w:val="00EE7B65"/>
    <w:rsid w:val="00EF7255"/>
    <w:rsid w:val="00F63F15"/>
    <w:rsid w:val="00F75E4A"/>
    <w:rsid w:val="00FC522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1FA797FE"/>
  <w15:chartTrackingRefBased/>
  <w15:docId w15:val="{10D9C450-C9AE-FA4F-8877-0F108DDE2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64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4</Pages>
  <Words>1185</Words>
  <Characters>6757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hepato</dc:creator>
  <cp:keywords/>
  <dc:description/>
  <cp:lastModifiedBy>hepato</cp:lastModifiedBy>
  <cp:revision>42</cp:revision>
  <dcterms:created xsi:type="dcterms:W3CDTF">2024-01-20T12:31:00Z</dcterms:created>
  <dcterms:modified xsi:type="dcterms:W3CDTF">2024-01-20T20:07:00Z</dcterms:modified>
</cp:coreProperties>
</file>